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0DE7E1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BF0907">
        <w:rPr>
          <w:bCs/>
          <w:noProof w:val="0"/>
          <w:sz w:val="24"/>
          <w:szCs w:val="24"/>
        </w:rPr>
        <w:t>5415</w:t>
      </w:r>
    </w:p>
    <w:p w14:paraId="11776FA6" w14:textId="70972E5E"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6E1057" w:rsidRPr="006E1057">
        <w:rPr>
          <w:bCs/>
          <w:sz w:val="24"/>
          <w:szCs w:val="24"/>
          <w:lang w:eastAsia="zh-CN"/>
        </w:rPr>
        <w:t>1</w:t>
      </w:r>
      <w:r w:rsidR="00065268">
        <w:rPr>
          <w:bCs/>
          <w:sz w:val="24"/>
          <w:szCs w:val="24"/>
          <w:lang w:eastAsia="zh-CN"/>
        </w:rPr>
        <w:t>9</w:t>
      </w:r>
      <w:r w:rsidR="006E1057" w:rsidRPr="006E1057">
        <w:rPr>
          <w:bCs/>
          <w:sz w:val="24"/>
          <w:szCs w:val="24"/>
          <w:lang w:eastAsia="zh-CN"/>
        </w:rPr>
        <w:t xml:space="preserve"> – 2</w:t>
      </w:r>
      <w:r w:rsidR="00065268">
        <w:rPr>
          <w:bCs/>
          <w:sz w:val="24"/>
          <w:szCs w:val="24"/>
          <w:lang w:eastAsia="zh-CN"/>
        </w:rPr>
        <w:t>7</w:t>
      </w:r>
      <w:r w:rsidR="006E1057" w:rsidRPr="006E1057">
        <w:rPr>
          <w:bCs/>
          <w:sz w:val="24"/>
          <w:szCs w:val="24"/>
          <w:lang w:eastAsia="zh-CN"/>
        </w:rPr>
        <w:t xml:space="preserve"> </w:t>
      </w:r>
      <w:r w:rsidR="00065268">
        <w:rPr>
          <w:bCs/>
          <w:sz w:val="24"/>
          <w:szCs w:val="24"/>
          <w:lang w:eastAsia="zh-CN"/>
        </w:rPr>
        <w:t>May</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7886DC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3CD2">
        <w:rPr>
          <w:rFonts w:cs="Arial"/>
          <w:b/>
          <w:bCs/>
          <w:sz w:val="24"/>
          <w:lang w:eastAsia="ja-JP"/>
        </w:rPr>
        <w:t>9</w:t>
      </w:r>
      <w:r>
        <w:rPr>
          <w:rFonts w:cs="Arial"/>
          <w:b/>
          <w:bCs/>
          <w:sz w:val="24"/>
          <w:lang w:eastAsia="ja-JP"/>
        </w:rPr>
        <w:t>.</w:t>
      </w:r>
      <w:r w:rsidR="004C3CD2">
        <w:rPr>
          <w:rFonts w:cs="Arial"/>
          <w:b/>
          <w:bCs/>
          <w:sz w:val="24"/>
          <w:lang w:eastAsia="ja-JP"/>
        </w:rPr>
        <w:t>2</w:t>
      </w:r>
      <w:r>
        <w:rPr>
          <w:rFonts w:cs="Arial"/>
          <w:b/>
          <w:bCs/>
          <w:sz w:val="24"/>
          <w:lang w:eastAsia="ja-JP"/>
        </w:rPr>
        <w:t>.</w:t>
      </w:r>
      <w:r w:rsidR="004C3CD2">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7D1CC8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D4994">
        <w:rPr>
          <w:rFonts w:ascii="Arial" w:hAnsi="Arial" w:cs="Arial"/>
          <w:b/>
          <w:bCs/>
          <w:sz w:val="24"/>
        </w:rPr>
        <w:t>Further discussion</w:t>
      </w:r>
      <w:r w:rsidR="002D4994" w:rsidRPr="0026655F">
        <w:rPr>
          <w:rFonts w:ascii="Arial" w:hAnsi="Arial" w:cs="Arial"/>
          <w:b/>
          <w:bCs/>
          <w:sz w:val="24"/>
        </w:rPr>
        <w:t xml:space="preserve"> on essential parts for IoT-NTN functionality for Rel-17</w:t>
      </w:r>
    </w:p>
    <w:p w14:paraId="1F147C23" w14:textId="40779AB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D4994" w:rsidRPr="009D7395">
        <w:rPr>
          <w:rFonts w:ascii="Arial" w:hAnsi="Arial" w:cs="Arial"/>
          <w:b/>
          <w:bCs/>
          <w:sz w:val="24"/>
        </w:rPr>
        <w:t xml:space="preserve">FS_LTE_NBIOT_eMTC_NTN </w:t>
      </w:r>
      <w:r w:rsidR="002D4994">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743EAD06" w:rsidR="00A209D6" w:rsidRDefault="005808CE" w:rsidP="00A209D6">
      <w:r>
        <w:t>According to RANP#91e discussion based on RP-210915, WG is expected to recommend essential functionality targeting Rel-17</w:t>
      </w:r>
      <w:r w:rsidR="00A209D6">
        <w:t xml:space="preserve">. </w:t>
      </w:r>
      <w:r>
        <w:t>In the RAN2-113bis-e meeting, RAN2 endorsed points covering some aspects</w:t>
      </w:r>
      <w:r w:rsidR="00CD0BA8">
        <w:t>.</w:t>
      </w:r>
      <w:r>
        <w:t xml:space="preserve"> In this contribution, we con</w:t>
      </w:r>
      <w:r w:rsidR="003F6F14">
        <w:t>tinue the discussion on the left topics from RAN2 point of view.</w:t>
      </w:r>
    </w:p>
    <w:tbl>
      <w:tblPr>
        <w:tblStyle w:val="TableGrid"/>
        <w:tblW w:w="0" w:type="auto"/>
        <w:tblInd w:w="1413" w:type="dxa"/>
        <w:tblLook w:val="04A0" w:firstRow="1" w:lastRow="0" w:firstColumn="1" w:lastColumn="0" w:noHBand="0" w:noVBand="1"/>
      </w:tblPr>
      <w:tblGrid>
        <w:gridCol w:w="8218"/>
      </w:tblGrid>
      <w:tr w:rsidR="00B96130" w14:paraId="31D1FCC2" w14:textId="77777777" w:rsidTr="00B96130">
        <w:tc>
          <w:tcPr>
            <w:tcW w:w="8218" w:type="dxa"/>
          </w:tcPr>
          <w:p w14:paraId="5FDA7158" w14:textId="77777777" w:rsidR="00B96130" w:rsidRPr="00B96130" w:rsidRDefault="00B96130" w:rsidP="00B96130">
            <w:pPr>
              <w:pStyle w:val="Agreement"/>
              <w:ind w:left="360"/>
              <w:rPr>
                <w:b w:val="0"/>
                <w:bCs/>
              </w:rPr>
            </w:pPr>
            <w:r w:rsidRPr="00B96130">
              <w:rPr>
                <w:b w:val="0"/>
                <w:bCs/>
              </w:rPr>
              <w:t>The following points are endorsed</w:t>
            </w:r>
          </w:p>
          <w:p w14:paraId="5A3B3920" w14:textId="77777777" w:rsidR="00B96130" w:rsidRPr="00B96130" w:rsidRDefault="00B96130" w:rsidP="00B96130">
            <w:pPr>
              <w:pStyle w:val="Agreement"/>
              <w:numPr>
                <w:ilvl w:val="0"/>
                <w:numId w:val="0"/>
              </w:numPr>
              <w:ind w:left="360"/>
              <w:rPr>
                <w:b w:val="0"/>
                <w:bCs/>
              </w:rPr>
            </w:pPr>
            <w:r w:rsidRPr="00B96130">
              <w:rPr>
                <w:b w:val="0"/>
                <w:bCs/>
              </w:rPr>
              <w:t xml:space="preserve">(24/24) Enhancements to ra-ResponseWindow and mac-ContentionResolutionTimer are essential. R2 assume that design can follow NR NTN agreements as baseline. </w:t>
            </w:r>
          </w:p>
          <w:p w14:paraId="2D0B59A4" w14:textId="77777777" w:rsidR="00B96130" w:rsidRPr="00B96130" w:rsidRDefault="00B96130" w:rsidP="00B96130">
            <w:pPr>
              <w:pStyle w:val="Agreement"/>
              <w:numPr>
                <w:ilvl w:val="0"/>
                <w:numId w:val="0"/>
              </w:numPr>
              <w:ind w:left="360"/>
              <w:rPr>
                <w:b w:val="0"/>
                <w:bCs/>
              </w:rPr>
            </w:pPr>
            <w:r w:rsidRPr="00B96130">
              <w:rPr>
                <w:b w:val="0"/>
                <w:bCs/>
              </w:rPr>
              <w:t>(21/21) Enhancements to HARQ-RTT-Timer and UL-HARQ-RTT-Timer are essential. R2 assume that design can follow NR NTN agreements as baseline.</w:t>
            </w:r>
          </w:p>
          <w:p w14:paraId="277ABA54" w14:textId="77777777" w:rsidR="00B96130" w:rsidRPr="00B96130" w:rsidRDefault="00B96130" w:rsidP="00B96130">
            <w:pPr>
              <w:pStyle w:val="Agreement"/>
              <w:numPr>
                <w:ilvl w:val="0"/>
                <w:numId w:val="0"/>
              </w:numPr>
              <w:ind w:left="360"/>
              <w:rPr>
                <w:b w:val="0"/>
                <w:bCs/>
              </w:rPr>
            </w:pPr>
            <w:r w:rsidRPr="00B96130">
              <w:rPr>
                <w:b w:val="0"/>
                <w:bCs/>
              </w:rPr>
              <w:t xml:space="preserve">(21/21) Enhancements to sr-ProhibitTimer are essential. R2 assume that design can follow NR NTN agreements as baseline.  </w:t>
            </w:r>
          </w:p>
          <w:p w14:paraId="2A4AE283" w14:textId="77777777" w:rsidR="00B96130" w:rsidRPr="00B96130" w:rsidRDefault="00B96130" w:rsidP="00B96130">
            <w:pPr>
              <w:pStyle w:val="Agreement"/>
              <w:numPr>
                <w:ilvl w:val="0"/>
                <w:numId w:val="0"/>
              </w:numPr>
              <w:ind w:left="360"/>
              <w:rPr>
                <w:b w:val="0"/>
                <w:bCs/>
              </w:rPr>
            </w:pPr>
            <w:r w:rsidRPr="00B96130">
              <w:rPr>
                <w:b w:val="0"/>
                <w:bCs/>
              </w:rPr>
              <w:t xml:space="preserve">(23/23) Enhancements to RLC SN and PDCP SN are not essential. </w:t>
            </w:r>
          </w:p>
          <w:p w14:paraId="15E085B2" w14:textId="77777777" w:rsidR="00B96130" w:rsidRPr="00B96130" w:rsidRDefault="00B96130" w:rsidP="00B96130">
            <w:pPr>
              <w:pStyle w:val="Agreement"/>
              <w:numPr>
                <w:ilvl w:val="0"/>
                <w:numId w:val="0"/>
              </w:numPr>
              <w:ind w:left="360"/>
              <w:rPr>
                <w:b w:val="0"/>
                <w:bCs/>
              </w:rPr>
            </w:pPr>
            <w:r w:rsidRPr="00B96130">
              <w:rPr>
                <w:b w:val="0"/>
                <w:bCs/>
              </w:rPr>
              <w:t xml:space="preserve">(24/24) Enhancements to tracking area management are essential. </w:t>
            </w:r>
          </w:p>
          <w:p w14:paraId="6175C9CA" w14:textId="77777777" w:rsidR="00B96130" w:rsidRPr="00B96130" w:rsidRDefault="00B96130" w:rsidP="00B96130">
            <w:pPr>
              <w:pStyle w:val="Agreement"/>
              <w:numPr>
                <w:ilvl w:val="0"/>
                <w:numId w:val="0"/>
              </w:numPr>
              <w:ind w:left="360"/>
              <w:rPr>
                <w:b w:val="0"/>
                <w:bCs/>
              </w:rPr>
            </w:pPr>
            <w:r w:rsidRPr="00B96130">
              <w:rPr>
                <w:b w:val="0"/>
                <w:bCs/>
              </w:rPr>
              <w:t>(24/25) Provisioning of ephemeris is essential. NR NTN agreements can be used as the baseline.</w:t>
            </w:r>
          </w:p>
          <w:p w14:paraId="7ECB3933" w14:textId="77777777" w:rsidR="00B96130" w:rsidRPr="00B96130" w:rsidRDefault="00B96130" w:rsidP="00B96130">
            <w:pPr>
              <w:pStyle w:val="Agreement"/>
              <w:ind w:left="360"/>
              <w:rPr>
                <w:b w:val="0"/>
                <w:bCs/>
              </w:rPr>
            </w:pPr>
            <w:r w:rsidRPr="00B96130">
              <w:rPr>
                <w:b w:val="0"/>
                <w:bCs/>
              </w:rPr>
              <w:t xml:space="preserve">(22/25) There is significant interest for Power saving in idle mode for NTN IOT devices, e.g. there is significant interest for enhancements to eDRX/PSM (discontinuous coverage) and to relaxed monitoring, SI acquisition and WUS. </w:t>
            </w:r>
          </w:p>
          <w:p w14:paraId="555E4C2B" w14:textId="77777777" w:rsidR="00B96130" w:rsidRPr="00B96130" w:rsidRDefault="00B96130" w:rsidP="00B96130">
            <w:pPr>
              <w:pStyle w:val="Agreement"/>
              <w:ind w:left="360"/>
              <w:rPr>
                <w:b w:val="0"/>
                <w:bCs/>
              </w:rPr>
            </w:pPr>
            <w:r w:rsidRPr="00B96130">
              <w:rPr>
                <w:b w:val="0"/>
                <w:bCs/>
              </w:rPr>
              <w:t>The following points are endorsed</w:t>
            </w:r>
          </w:p>
          <w:p w14:paraId="1D9CE42A" w14:textId="77777777" w:rsidR="00B96130" w:rsidRPr="00B96130" w:rsidRDefault="00B96130" w:rsidP="00B96130">
            <w:pPr>
              <w:pStyle w:val="Agreement"/>
              <w:numPr>
                <w:ilvl w:val="0"/>
                <w:numId w:val="0"/>
              </w:numPr>
              <w:ind w:left="360"/>
              <w:rPr>
                <w:b w:val="0"/>
                <w:bCs/>
              </w:rPr>
            </w:pPr>
            <w:r w:rsidRPr="00B96130">
              <w:rPr>
                <w:b w:val="0"/>
                <w:bCs/>
              </w:rPr>
              <w:t xml:space="preserve">(19/23) Enhancements to UL scheduling </w:t>
            </w:r>
            <w:r w:rsidRPr="00B96130">
              <w:rPr>
                <w:rFonts w:eastAsia="宋体"/>
                <w:b w:val="0"/>
                <w:bCs/>
                <w:lang w:eastAsia="zh-CN"/>
              </w:rPr>
              <w:t>for latency reduction</w:t>
            </w:r>
            <w:r w:rsidRPr="00B96130">
              <w:rPr>
                <w:b w:val="0"/>
                <w:bCs/>
              </w:rPr>
              <w:t xml:space="preserve"> are not essential. </w:t>
            </w:r>
          </w:p>
          <w:p w14:paraId="26E9F13B" w14:textId="77777777" w:rsidR="00B96130" w:rsidRPr="00B96130" w:rsidRDefault="00B96130" w:rsidP="00B96130">
            <w:pPr>
              <w:pStyle w:val="Agreement"/>
              <w:numPr>
                <w:ilvl w:val="0"/>
                <w:numId w:val="0"/>
              </w:numPr>
              <w:ind w:left="360"/>
              <w:rPr>
                <w:b w:val="0"/>
                <w:bCs/>
              </w:rPr>
            </w:pPr>
            <w:r w:rsidRPr="00B96130">
              <w:rPr>
                <w:b w:val="0"/>
                <w:bCs/>
              </w:rPr>
              <w:t xml:space="preserve">Enhancements to PUR are not essential (19/23). Enhancement to pur-ResponseTimer is needed and feasibility of PUR in GEO and LEO scenarios needs to be checked by RAN1.  </w:t>
            </w:r>
          </w:p>
          <w:p w14:paraId="77D83354" w14:textId="77777777" w:rsidR="00B96130" w:rsidRPr="00B96130" w:rsidRDefault="00B96130" w:rsidP="00B96130">
            <w:pPr>
              <w:pStyle w:val="Agreement"/>
              <w:numPr>
                <w:ilvl w:val="0"/>
                <w:numId w:val="0"/>
              </w:numPr>
              <w:ind w:left="360"/>
              <w:rPr>
                <w:b w:val="0"/>
                <w:bCs/>
              </w:rPr>
            </w:pPr>
            <w:r w:rsidRPr="00B96130">
              <w:rPr>
                <w:b w:val="0"/>
                <w:bCs/>
              </w:rPr>
              <w:t>(18/23) Enhancements to RLC t-Reordering timer are essential. There is no need for further study as design can follow NR NTN agreements.</w:t>
            </w:r>
          </w:p>
          <w:p w14:paraId="0DF958D8" w14:textId="73F44472" w:rsidR="00B96130" w:rsidRDefault="00B96130" w:rsidP="00B96130">
            <w:pPr>
              <w:pStyle w:val="Agreement"/>
              <w:ind w:left="360"/>
            </w:pPr>
            <w:r w:rsidRPr="00B96130">
              <w:rPr>
                <w:b w:val="0"/>
                <w:bCs/>
              </w:rPr>
              <w:t>Chair: Most companies think Enhancements for power saving in connected mode are not essential for NTN IOT devices.</w:t>
            </w:r>
          </w:p>
        </w:tc>
      </w:tr>
    </w:tbl>
    <w:p w14:paraId="4F547731" w14:textId="7C5F20CF" w:rsidR="00A209D6" w:rsidRPr="006E13D1" w:rsidRDefault="00A209D6" w:rsidP="00B7538C">
      <w:pPr>
        <w:pStyle w:val="Heading1"/>
      </w:pPr>
      <w:r w:rsidRPr="006E13D1">
        <w:t>2</w:t>
      </w:r>
      <w:r w:rsidRPr="006E13D1">
        <w:tab/>
      </w:r>
      <w:r w:rsidR="000F5A42">
        <w:t>Discussion</w:t>
      </w:r>
    </w:p>
    <w:p w14:paraId="6AA886A8" w14:textId="77777777" w:rsidR="00D03A08" w:rsidRPr="00A24196" w:rsidRDefault="00D03A08" w:rsidP="00D03A08">
      <w:pPr>
        <w:numPr>
          <w:ilvl w:val="0"/>
          <w:numId w:val="9"/>
        </w:numPr>
        <w:overflowPunct w:val="0"/>
        <w:autoSpaceDE w:val="0"/>
        <w:autoSpaceDN w:val="0"/>
        <w:adjustRightInd w:val="0"/>
        <w:ind w:left="644"/>
        <w:rPr>
          <w:rFonts w:cs="Arial"/>
          <w:b/>
          <w:bCs/>
        </w:rPr>
      </w:pPr>
      <w:r w:rsidRPr="00A24196">
        <w:rPr>
          <w:rFonts w:cs="Arial"/>
          <w:b/>
          <w:bCs/>
        </w:rPr>
        <w:t>IoT NTN Architecture</w:t>
      </w:r>
    </w:p>
    <w:p w14:paraId="5E42C5E1" w14:textId="77777777" w:rsidR="00D03A08" w:rsidRDefault="00D03A08" w:rsidP="00D03A08">
      <w:pPr>
        <w:overflowPunct w:val="0"/>
        <w:autoSpaceDE w:val="0"/>
        <w:autoSpaceDN w:val="0"/>
        <w:adjustRightInd w:val="0"/>
        <w:ind w:left="644"/>
        <w:rPr>
          <w:rFonts w:cs="Arial"/>
        </w:rPr>
      </w:pPr>
      <w:r>
        <w:rPr>
          <w:rFonts w:cs="Arial"/>
        </w:rPr>
        <w:t xml:space="preserve">As most of the current terrestrial IoT deployments and devices have only EPC connectivity, reuse of terrestrial network architecture with EPC as basis for Rel-17. Connectivity to 5GC is not essential for Rel-17 to achieve the minimum performance required for the first release. Even if the initial assessment on specification impact in RAN2 for 5GC connectivity was not significant it is yet to be confirmed via technical analysis. Moreover supporting of all the NTN specific adaptation over RAN3 interfaces of EPC also for NGC interface requires additional efforts. </w:t>
      </w:r>
    </w:p>
    <w:p w14:paraId="42AE2354" w14:textId="389FBA9A" w:rsidR="00D03A08" w:rsidRPr="00560B07" w:rsidRDefault="00D03A08" w:rsidP="00D03A08">
      <w:pPr>
        <w:overflowPunct w:val="0"/>
        <w:autoSpaceDE w:val="0"/>
        <w:autoSpaceDN w:val="0"/>
        <w:adjustRightInd w:val="0"/>
        <w:ind w:left="644"/>
        <w:rPr>
          <w:rFonts w:cs="Arial"/>
          <w:b/>
          <w:bCs/>
        </w:rPr>
      </w:pPr>
      <w:r w:rsidRPr="00560B07">
        <w:rPr>
          <w:rFonts w:cs="Arial"/>
          <w:b/>
          <w:bCs/>
        </w:rPr>
        <w:lastRenderedPageBreak/>
        <w:t xml:space="preserve">Proposal </w:t>
      </w:r>
      <w:r>
        <w:rPr>
          <w:rFonts w:cs="Arial"/>
          <w:b/>
          <w:bCs/>
        </w:rPr>
        <w:t>1</w:t>
      </w:r>
      <w:r w:rsidRPr="00560B07">
        <w:rPr>
          <w:rFonts w:cs="Arial"/>
          <w:b/>
          <w:bCs/>
        </w:rPr>
        <w:t>:</w:t>
      </w:r>
      <w:r w:rsidR="00551280">
        <w:rPr>
          <w:rFonts w:cs="Arial"/>
          <w:b/>
          <w:bCs/>
        </w:rPr>
        <w:t xml:space="preserve"> </w:t>
      </w:r>
      <w:r w:rsidRPr="00560B07">
        <w:rPr>
          <w:rFonts w:cs="Arial"/>
          <w:b/>
          <w:bCs/>
        </w:rPr>
        <w:t>5GC connectivity is not essential functionality for the listed scenarios.</w:t>
      </w:r>
    </w:p>
    <w:p w14:paraId="3668F5B7" w14:textId="02D9E53D" w:rsidR="00D820D4" w:rsidRPr="00A24196" w:rsidRDefault="00D820D4" w:rsidP="00D820D4">
      <w:pPr>
        <w:numPr>
          <w:ilvl w:val="0"/>
          <w:numId w:val="9"/>
        </w:numPr>
        <w:overflowPunct w:val="0"/>
        <w:autoSpaceDE w:val="0"/>
        <w:autoSpaceDN w:val="0"/>
        <w:adjustRightInd w:val="0"/>
        <w:ind w:left="644"/>
        <w:rPr>
          <w:rFonts w:cs="Arial"/>
          <w:b/>
          <w:bCs/>
        </w:rPr>
      </w:pPr>
      <w:r w:rsidRPr="00A24196">
        <w:rPr>
          <w:rFonts w:cs="Arial"/>
          <w:b/>
          <w:bCs/>
        </w:rPr>
        <w:t xml:space="preserve">HARQ </w:t>
      </w:r>
    </w:p>
    <w:p w14:paraId="3040273C" w14:textId="53975CF7" w:rsidR="00E733C7" w:rsidRDefault="00E733C7" w:rsidP="00E733C7">
      <w:pPr>
        <w:overflowPunct w:val="0"/>
        <w:autoSpaceDE w:val="0"/>
        <w:autoSpaceDN w:val="0"/>
        <w:adjustRightInd w:val="0"/>
        <w:ind w:left="644"/>
        <w:rPr>
          <w:rFonts w:cs="Arial"/>
        </w:rPr>
      </w:pPr>
      <w:r>
        <w:rPr>
          <w:rFonts w:cs="Arial"/>
        </w:rPr>
        <w:t>In IoT NTN, f</w:t>
      </w:r>
      <w:r w:rsidRPr="00E733C7">
        <w:rPr>
          <w:rFonts w:cs="Arial"/>
        </w:rPr>
        <w:t xml:space="preserve">or high MCL target with high channel repetition number requirement, the HARQ stalling is not the main issue because 1 HARQ with high repetition number transmission </w:t>
      </w:r>
      <w:r>
        <w:rPr>
          <w:rFonts w:cs="Arial"/>
        </w:rPr>
        <w:t>may</w:t>
      </w:r>
      <w:r w:rsidRPr="00E733C7">
        <w:rPr>
          <w:rFonts w:cs="Arial"/>
        </w:rPr>
        <w:t xml:space="preserve"> last more than 1 RTD thus it is not helpful to have more HARQ process or disable HARQ feedback to improve UE’s data rate. This means the NR NTN solution (e.g. disabling HARQ) </w:t>
      </w:r>
      <w:r w:rsidR="00F95D1D">
        <w:rPr>
          <w:rFonts w:cs="Arial"/>
        </w:rPr>
        <w:t>should not</w:t>
      </w:r>
      <w:r w:rsidRPr="00E733C7">
        <w:rPr>
          <w:rFonts w:cs="Arial"/>
        </w:rPr>
        <w:t xml:space="preserve"> be adopted in IoT NTN in this scenario.</w:t>
      </w:r>
      <w:r>
        <w:rPr>
          <w:rFonts w:cs="Arial"/>
        </w:rPr>
        <w:t xml:space="preserve"> </w:t>
      </w:r>
      <w:r w:rsidRPr="00E733C7">
        <w:rPr>
          <w:rFonts w:cs="Arial"/>
        </w:rPr>
        <w:t xml:space="preserve">On the contrary, for GEO with low MCL (e.g. MCL=144 dB) with </w:t>
      </w:r>
      <w:r>
        <w:rPr>
          <w:rFonts w:cs="Arial"/>
        </w:rPr>
        <w:t xml:space="preserve">relatively </w:t>
      </w:r>
      <w:r w:rsidRPr="00E733C7">
        <w:rPr>
          <w:rFonts w:cs="Arial"/>
        </w:rPr>
        <w:t xml:space="preserve">low channel repetition number requirement, the HARQ stalling </w:t>
      </w:r>
      <w:r>
        <w:rPr>
          <w:rFonts w:cs="Arial"/>
        </w:rPr>
        <w:t>may happen</w:t>
      </w:r>
      <w:r w:rsidRPr="00E733C7">
        <w:rPr>
          <w:rFonts w:cs="Arial"/>
        </w:rPr>
        <w:t xml:space="preserve"> thus the NR NTN solution (e.g. disabling HARQ) can be adopted.</w:t>
      </w:r>
      <w:r>
        <w:rPr>
          <w:rFonts w:cs="Arial"/>
        </w:rPr>
        <w:t xml:space="preserve"> However, s</w:t>
      </w:r>
      <w:r w:rsidR="00D820D4">
        <w:rPr>
          <w:rFonts w:cs="Arial"/>
        </w:rPr>
        <w:t xml:space="preserve">ince guidance from RP-210915 </w:t>
      </w:r>
      <w:r w:rsidR="00D820D4" w:rsidRPr="00777973">
        <w:rPr>
          <w:rFonts w:cs="Arial"/>
        </w:rPr>
        <w:t>prioritiz</w:t>
      </w:r>
      <w:r w:rsidR="00D820D4">
        <w:rPr>
          <w:rFonts w:cs="Arial"/>
        </w:rPr>
        <w:t>e</w:t>
      </w:r>
      <w:r w:rsidR="00D820D4" w:rsidRPr="00777973">
        <w:rPr>
          <w:rFonts w:cs="Arial"/>
        </w:rPr>
        <w:t xml:space="preserve"> the use case of intermittent delay-tolerant small packet transmissions</w:t>
      </w:r>
      <w:r w:rsidR="00D820D4">
        <w:rPr>
          <w:rFonts w:cs="Arial"/>
        </w:rPr>
        <w:t xml:space="preserve">, the data rate is not the key metric for this scenario. </w:t>
      </w:r>
      <w:r>
        <w:rPr>
          <w:rFonts w:cs="Arial"/>
        </w:rPr>
        <w:t xml:space="preserve">It seems supporting basic HARQ feature is acceptable for Rel-17. </w:t>
      </w:r>
    </w:p>
    <w:p w14:paraId="1E83A30A" w14:textId="51404F3B" w:rsidR="00E733C7" w:rsidRDefault="00E733C7" w:rsidP="00D820D4">
      <w:pPr>
        <w:overflowPunct w:val="0"/>
        <w:autoSpaceDE w:val="0"/>
        <w:autoSpaceDN w:val="0"/>
        <w:adjustRightInd w:val="0"/>
        <w:ind w:left="644"/>
        <w:rPr>
          <w:rFonts w:cs="Arial"/>
        </w:rPr>
      </w:pPr>
      <w:r>
        <w:rPr>
          <w:rFonts w:cs="Arial"/>
        </w:rPr>
        <w:t xml:space="preserve">In the RAN2-113bis meeting, there is some interest to support disabling HARQ for GEO scenario and suggestion to wait for RAN1 conclusion. In our view, </w:t>
      </w:r>
      <w:r w:rsidR="00C70385">
        <w:rPr>
          <w:rFonts w:cs="Arial"/>
        </w:rPr>
        <w:t>the</w:t>
      </w:r>
      <w:r w:rsidR="00C70385" w:rsidRPr="00C70385">
        <w:rPr>
          <w:rFonts w:cs="Arial"/>
        </w:rPr>
        <w:t xml:space="preserve"> necessity of HARQ enhancements for IoT NTN </w:t>
      </w:r>
      <w:r>
        <w:rPr>
          <w:rFonts w:cs="Arial"/>
        </w:rPr>
        <w:t>depend</w:t>
      </w:r>
      <w:r w:rsidR="00C70385">
        <w:rPr>
          <w:rFonts w:cs="Arial"/>
        </w:rPr>
        <w:t>s</w:t>
      </w:r>
      <w:r>
        <w:rPr>
          <w:rFonts w:cs="Arial"/>
        </w:rPr>
        <w:t xml:space="preserve"> on</w:t>
      </w:r>
      <w:r w:rsidR="00C70385">
        <w:rPr>
          <w:rFonts w:cs="Arial"/>
        </w:rPr>
        <w:t xml:space="preserve"> the data rate </w:t>
      </w:r>
      <w:r w:rsidR="004D7951">
        <w:rPr>
          <w:rFonts w:cs="Arial"/>
        </w:rPr>
        <w:t xml:space="preserve">and delay </w:t>
      </w:r>
      <w:r w:rsidR="00C70385">
        <w:rPr>
          <w:rFonts w:cs="Arial"/>
        </w:rPr>
        <w:t>requirement</w:t>
      </w:r>
      <w:r w:rsidR="004D7951">
        <w:rPr>
          <w:rFonts w:cs="Arial"/>
        </w:rPr>
        <w:t xml:space="preserve">. RAN2 need to discuss whether </w:t>
      </w:r>
      <w:r w:rsidR="004D7951" w:rsidRPr="00E9320F">
        <w:t>intermittent delay-tolerant small packet transmissions can be agreed as working assumptio</w:t>
      </w:r>
      <w:r w:rsidR="004D7951">
        <w:t>n.</w:t>
      </w:r>
    </w:p>
    <w:p w14:paraId="6878A0D7" w14:textId="25AAAAF4" w:rsidR="00D820D4" w:rsidRPr="003F5368" w:rsidRDefault="00D820D4" w:rsidP="00D820D4">
      <w:pPr>
        <w:ind w:left="644"/>
        <w:rPr>
          <w:b/>
        </w:rPr>
      </w:pPr>
      <w:r w:rsidRPr="003F5368">
        <w:rPr>
          <w:b/>
        </w:rPr>
        <w:t xml:space="preserve">Proposal </w:t>
      </w:r>
      <w:r>
        <w:rPr>
          <w:b/>
        </w:rPr>
        <w:t>2</w:t>
      </w:r>
      <w:r w:rsidRPr="003F5368">
        <w:rPr>
          <w:b/>
        </w:rPr>
        <w:t xml:space="preserve">: </w:t>
      </w:r>
      <w:r w:rsidR="004D7951">
        <w:rPr>
          <w:b/>
        </w:rPr>
        <w:t xml:space="preserve">The necessity of </w:t>
      </w:r>
      <w:r w:rsidR="004D7951" w:rsidRPr="003F5368">
        <w:rPr>
          <w:b/>
        </w:rPr>
        <w:t xml:space="preserve">HARQ </w:t>
      </w:r>
      <w:r w:rsidR="004D7951">
        <w:rPr>
          <w:b/>
        </w:rPr>
        <w:t>enhancement</w:t>
      </w:r>
      <w:r w:rsidR="004D7951" w:rsidRPr="003F5368">
        <w:rPr>
          <w:b/>
        </w:rPr>
        <w:t xml:space="preserve"> in Rel-17</w:t>
      </w:r>
      <w:r w:rsidR="004D7951">
        <w:rPr>
          <w:b/>
        </w:rPr>
        <w:t xml:space="preserve"> depends on data rate</w:t>
      </w:r>
      <w:r w:rsidR="00C84561">
        <w:rPr>
          <w:b/>
        </w:rPr>
        <w:t xml:space="preserve"> </w:t>
      </w:r>
      <w:r w:rsidR="004D7951">
        <w:rPr>
          <w:b/>
        </w:rPr>
        <w:t>requirement for IoT NTN.</w:t>
      </w:r>
    </w:p>
    <w:p w14:paraId="44B8A4DA" w14:textId="0BBBF45C" w:rsidR="00D40BC4" w:rsidRPr="00A24196" w:rsidRDefault="00D40BC4" w:rsidP="00D40BC4">
      <w:pPr>
        <w:numPr>
          <w:ilvl w:val="0"/>
          <w:numId w:val="9"/>
        </w:numPr>
        <w:overflowPunct w:val="0"/>
        <w:autoSpaceDE w:val="0"/>
        <w:autoSpaceDN w:val="0"/>
        <w:adjustRightInd w:val="0"/>
        <w:ind w:left="644"/>
        <w:rPr>
          <w:rFonts w:cs="Arial"/>
          <w:b/>
          <w:bCs/>
        </w:rPr>
      </w:pPr>
      <w:r w:rsidRPr="00A24196">
        <w:rPr>
          <w:rFonts w:cs="Arial"/>
          <w:b/>
          <w:bCs/>
        </w:rPr>
        <w:t>EDT</w:t>
      </w:r>
    </w:p>
    <w:p w14:paraId="480159CD" w14:textId="6BF2873A" w:rsidR="00D40BC4" w:rsidRDefault="00D40BC4" w:rsidP="00D40BC4">
      <w:pPr>
        <w:overflowPunct w:val="0"/>
        <w:autoSpaceDE w:val="0"/>
        <w:autoSpaceDN w:val="0"/>
        <w:adjustRightInd w:val="0"/>
        <w:ind w:left="644"/>
        <w:rPr>
          <w:rFonts w:cs="Arial"/>
        </w:rPr>
      </w:pPr>
      <w:r w:rsidRPr="00D40BC4">
        <w:rPr>
          <w:rFonts w:cs="Arial"/>
        </w:rPr>
        <w:t>The early data transmission (EDT) feature was standardized for mobile-originated data in release 15 and for mobile-terminated data in release 16 for eMTC and NB-IoT. The feature enables (for mobile-originated data) the UE to transfer a small amount of data in msg3 of the Random Access procedure. If the transmission is successful, the UE will not move to RRC Connected mode, but return to RRC Idle (sleep). The network is responsible for defining applicable transport block sizes and number of repetitions to use – similar to configuration for Random Access.</w:t>
      </w:r>
      <w:r>
        <w:rPr>
          <w:rFonts w:cs="Arial"/>
        </w:rPr>
        <w:t xml:space="preserve"> </w:t>
      </w:r>
      <w:r w:rsidRPr="00D40BC4">
        <w:rPr>
          <w:rFonts w:cs="Arial"/>
        </w:rPr>
        <w:t xml:space="preserve">The feature reduces the signalling overhead and the delay in transferring the small amount of data, and therefore also saves UE energy and reduce the latency. </w:t>
      </w:r>
    </w:p>
    <w:p w14:paraId="523A9DA0" w14:textId="00CD9F5B" w:rsidR="00D40BC4" w:rsidRPr="00D40BC4" w:rsidRDefault="00D40BC4" w:rsidP="00D40BC4">
      <w:pPr>
        <w:overflowPunct w:val="0"/>
        <w:autoSpaceDE w:val="0"/>
        <w:autoSpaceDN w:val="0"/>
        <w:adjustRightInd w:val="0"/>
        <w:ind w:left="644"/>
        <w:rPr>
          <w:rFonts w:cs="Arial"/>
        </w:rPr>
      </w:pPr>
      <w:r>
        <w:rPr>
          <w:rFonts w:cs="Arial"/>
        </w:rPr>
        <w:t>In the RAN2-113bis meeting,</w:t>
      </w:r>
      <w:r w:rsidR="00E63D0C">
        <w:rPr>
          <w:rFonts w:cs="Arial"/>
        </w:rPr>
        <w:t xml:space="preserve"> it was observed e</w:t>
      </w:r>
      <w:r w:rsidR="00E63D0C" w:rsidRPr="00E63D0C">
        <w:rPr>
          <w:rFonts w:cs="Arial"/>
        </w:rPr>
        <w:t>nhancements to EDT are not essential (16/23) but are beneficial (13/23) and can be supported without additional specification changes compared to RACH.</w:t>
      </w:r>
      <w:r w:rsidR="00E63D0C">
        <w:rPr>
          <w:rFonts w:cs="Arial"/>
        </w:rPr>
        <w:t xml:space="preserve"> We think EDT can be included as essential part for Rel-17.</w:t>
      </w:r>
    </w:p>
    <w:p w14:paraId="76DEF34C" w14:textId="4AE76301" w:rsidR="00D40BC4" w:rsidRPr="00E63D0C" w:rsidRDefault="00E63D0C" w:rsidP="00E63D0C">
      <w:pPr>
        <w:ind w:left="644"/>
        <w:rPr>
          <w:b/>
        </w:rPr>
      </w:pPr>
      <w:r w:rsidRPr="00E63D0C">
        <w:rPr>
          <w:b/>
        </w:rPr>
        <w:t>Proposal</w:t>
      </w:r>
      <w:r w:rsidR="00D40BC4" w:rsidRPr="00E63D0C">
        <w:rPr>
          <w:b/>
        </w:rPr>
        <w:t xml:space="preserve"> 3: </w:t>
      </w:r>
      <w:r>
        <w:rPr>
          <w:b/>
        </w:rPr>
        <w:t xml:space="preserve">RAN2 to agree EDT </w:t>
      </w:r>
      <w:r w:rsidR="00BB27D7">
        <w:rPr>
          <w:rFonts w:hint="eastAsia"/>
          <w:b/>
          <w:lang w:eastAsia="zh-CN"/>
        </w:rPr>
        <w:t>(</w:t>
      </w:r>
      <w:r w:rsidR="0044399E" w:rsidRPr="0044399E">
        <w:rPr>
          <w:b/>
        </w:rPr>
        <w:t>without additional specification changes compared to RACH</w:t>
      </w:r>
      <w:r w:rsidR="00BB27D7">
        <w:rPr>
          <w:b/>
        </w:rPr>
        <w:t>)</w:t>
      </w:r>
      <w:r w:rsidR="0044399E" w:rsidRPr="0044399E">
        <w:rPr>
          <w:b/>
        </w:rPr>
        <w:t xml:space="preserve"> </w:t>
      </w:r>
      <w:r>
        <w:rPr>
          <w:b/>
        </w:rPr>
        <w:t>as essential part for IoT NTN</w:t>
      </w:r>
      <w:r w:rsidR="008A3D5B">
        <w:rPr>
          <w:b/>
        </w:rPr>
        <w:t xml:space="preserve"> in Rel-17</w:t>
      </w:r>
      <w:r w:rsidR="00D40BC4" w:rsidRPr="00E63D0C">
        <w:rPr>
          <w:b/>
        </w:rPr>
        <w:t>.</w:t>
      </w:r>
    </w:p>
    <w:p w14:paraId="21926A0F" w14:textId="77777777" w:rsidR="00B161E4" w:rsidRPr="00D9157B" w:rsidRDefault="00B161E4" w:rsidP="00D9157B">
      <w:pPr>
        <w:numPr>
          <w:ilvl w:val="0"/>
          <w:numId w:val="9"/>
        </w:numPr>
        <w:overflowPunct w:val="0"/>
        <w:autoSpaceDE w:val="0"/>
        <w:autoSpaceDN w:val="0"/>
        <w:adjustRightInd w:val="0"/>
        <w:ind w:left="644"/>
        <w:rPr>
          <w:rFonts w:cs="Arial"/>
          <w:b/>
          <w:bCs/>
        </w:rPr>
      </w:pPr>
      <w:r w:rsidRPr="00D9157B">
        <w:rPr>
          <w:rFonts w:cs="Arial"/>
          <w:b/>
          <w:bCs/>
        </w:rPr>
        <w:t>Enhancements for Discontinuous Coverage Scenario</w:t>
      </w:r>
    </w:p>
    <w:p w14:paraId="6669422A" w14:textId="0C1449EF" w:rsidR="00B161E4" w:rsidRDefault="00B161E4" w:rsidP="00B161E4">
      <w:pPr>
        <w:pStyle w:val="ListParagraph"/>
        <w:ind w:left="644"/>
        <w:rPr>
          <w:bCs/>
          <w:color w:val="000000" w:themeColor="text1"/>
        </w:rPr>
      </w:pPr>
      <w:r>
        <w:rPr>
          <w:bCs/>
          <w:color w:val="000000" w:themeColor="text1"/>
        </w:rPr>
        <w:t>If the idle mode UE is not aware of the information about the coverage situation it may lead to increased power consumption at the time of UE leaving the coverage area as there will be redundant inter-frequency and intra-frequency monitoring in these scenarios before concluding that no suitable cell is found. In the same</w:t>
      </w:r>
      <w:r w:rsidR="008438C3">
        <w:rPr>
          <w:bCs/>
          <w:color w:val="000000" w:themeColor="text1"/>
        </w:rPr>
        <w:t xml:space="preserve"> </w:t>
      </w:r>
      <w:r>
        <w:rPr>
          <w:bCs/>
          <w:color w:val="000000" w:themeColor="text1"/>
        </w:rPr>
        <w:t>way, it may take longer time to return back to coverage if the UE is monitoring for suitable cell with longer periodicity</w:t>
      </w:r>
      <w:r w:rsidR="00CF3A2C">
        <w:rPr>
          <w:bCs/>
          <w:color w:val="000000" w:themeColor="text1"/>
        </w:rPr>
        <w:t xml:space="preserve"> when it was in out of coverage.  In case of PSM and eDRX functionalities also without the awareness of coverage situation the UE may attempt for cell selection /reselection procedure which will not result in finding suitable cell</w:t>
      </w:r>
      <w:r w:rsidR="00671B1F">
        <w:rPr>
          <w:bCs/>
          <w:color w:val="000000" w:themeColor="text1"/>
        </w:rPr>
        <w:t xml:space="preserve"> during the discontinuous coverage periods</w:t>
      </w:r>
      <w:r w:rsidR="00CF3A2C">
        <w:rPr>
          <w:bCs/>
          <w:color w:val="000000" w:themeColor="text1"/>
        </w:rPr>
        <w:t xml:space="preserve">. </w:t>
      </w:r>
    </w:p>
    <w:p w14:paraId="5C4F7146" w14:textId="6EB96FE1" w:rsidR="00CF3A2C" w:rsidRDefault="00CF3A2C" w:rsidP="00B161E4">
      <w:pPr>
        <w:pStyle w:val="ListParagraph"/>
        <w:ind w:left="644"/>
        <w:rPr>
          <w:bCs/>
          <w:color w:val="000000" w:themeColor="text1"/>
        </w:rPr>
      </w:pPr>
    </w:p>
    <w:p w14:paraId="5B0608B1" w14:textId="408328F3" w:rsidR="00CF3A2C" w:rsidRDefault="00CF3A2C" w:rsidP="00B161E4">
      <w:pPr>
        <w:pStyle w:val="ListParagraph"/>
        <w:ind w:left="644"/>
        <w:rPr>
          <w:bCs/>
          <w:color w:val="000000" w:themeColor="text1"/>
        </w:rPr>
      </w:pPr>
      <w:r>
        <w:rPr>
          <w:bCs/>
          <w:color w:val="000000" w:themeColor="text1"/>
        </w:rPr>
        <w:t>For connected mode scenarios also there could be some enhancements possible related to RLF detection and early termination of user plane if the UE is aware of the overall coverage situation.</w:t>
      </w:r>
    </w:p>
    <w:p w14:paraId="02C6C1DB" w14:textId="1E079E4A" w:rsidR="00CF3A2C" w:rsidRDefault="00CF3A2C" w:rsidP="00B161E4">
      <w:pPr>
        <w:pStyle w:val="ListParagraph"/>
        <w:ind w:left="644"/>
        <w:rPr>
          <w:bCs/>
          <w:color w:val="000000" w:themeColor="text1"/>
        </w:rPr>
      </w:pPr>
    </w:p>
    <w:p w14:paraId="25504B69" w14:textId="3C8AFF5D" w:rsidR="00CF3A2C" w:rsidRDefault="00CF3A2C" w:rsidP="00B161E4">
      <w:pPr>
        <w:pStyle w:val="ListParagraph"/>
        <w:ind w:left="644"/>
        <w:rPr>
          <w:b/>
          <w:color w:val="000000" w:themeColor="text1"/>
        </w:rPr>
      </w:pPr>
      <w:r w:rsidRPr="00CF3A2C">
        <w:rPr>
          <w:b/>
          <w:color w:val="000000" w:themeColor="text1"/>
        </w:rPr>
        <w:t>Observation 1: Power consumption related to Idle mode mobility related procedures can be significantly improved for discontinuous coverage scenario with additional enhancements.</w:t>
      </w:r>
    </w:p>
    <w:p w14:paraId="3B735E04" w14:textId="53EA8104" w:rsidR="00CF3A2C" w:rsidRDefault="00CF3A2C" w:rsidP="00B161E4">
      <w:pPr>
        <w:pStyle w:val="ListParagraph"/>
        <w:ind w:left="644"/>
        <w:rPr>
          <w:b/>
          <w:color w:val="000000" w:themeColor="text1"/>
        </w:rPr>
      </w:pPr>
    </w:p>
    <w:p w14:paraId="30AA77C4" w14:textId="3B2FFE58" w:rsidR="00CF3A2C" w:rsidRDefault="00CF3A2C" w:rsidP="00B161E4">
      <w:pPr>
        <w:pStyle w:val="ListParagraph"/>
        <w:ind w:left="644"/>
        <w:rPr>
          <w:b/>
          <w:color w:val="000000" w:themeColor="text1"/>
        </w:rPr>
      </w:pPr>
      <w:r>
        <w:rPr>
          <w:b/>
          <w:color w:val="000000" w:themeColor="text1"/>
        </w:rPr>
        <w:t xml:space="preserve">Observation 2: Awareness of coverage continuity for connected mode UE may be beneficial in some </w:t>
      </w:r>
      <w:r w:rsidR="00001F17">
        <w:rPr>
          <w:b/>
          <w:color w:val="000000" w:themeColor="text1"/>
        </w:rPr>
        <w:t xml:space="preserve">scenarios. </w:t>
      </w:r>
    </w:p>
    <w:p w14:paraId="129EC705" w14:textId="46C34FAC" w:rsidR="00CF3A2C" w:rsidRDefault="00CF3A2C" w:rsidP="00CF3A2C">
      <w:pPr>
        <w:ind w:left="644"/>
        <w:rPr>
          <w:b/>
        </w:rPr>
      </w:pPr>
      <w:r w:rsidRPr="00E63D0C">
        <w:rPr>
          <w:b/>
        </w:rPr>
        <w:t xml:space="preserve">Proposal </w:t>
      </w:r>
      <w:r>
        <w:rPr>
          <w:b/>
        </w:rPr>
        <w:t>4</w:t>
      </w:r>
      <w:r w:rsidRPr="00E63D0C">
        <w:rPr>
          <w:b/>
        </w:rPr>
        <w:t xml:space="preserve">: </w:t>
      </w:r>
      <w:r>
        <w:rPr>
          <w:b/>
        </w:rPr>
        <w:t xml:space="preserve">RAN2 to </w:t>
      </w:r>
      <w:r w:rsidR="00001F17">
        <w:rPr>
          <w:b/>
        </w:rPr>
        <w:t>prioritise the enhancements to the idle mode procedures applicable for discontinuous coverage scenario</w:t>
      </w:r>
      <w:r w:rsidR="007263FE">
        <w:rPr>
          <w:b/>
        </w:rPr>
        <w:t xml:space="preserve"> in Rel-17</w:t>
      </w:r>
      <w:r w:rsidR="00001F17">
        <w:rPr>
          <w:b/>
        </w:rPr>
        <w:t>.</w:t>
      </w:r>
    </w:p>
    <w:p w14:paraId="5E2EF056" w14:textId="362F6A7E" w:rsidR="00A24196" w:rsidRDefault="00CF3A2C" w:rsidP="00A24196">
      <w:pPr>
        <w:ind w:left="644"/>
        <w:rPr>
          <w:b/>
          <w:color w:val="A6A6A6" w:themeColor="background1" w:themeShade="A6"/>
        </w:rPr>
      </w:pPr>
      <w:r>
        <w:rPr>
          <w:b/>
        </w:rPr>
        <w:t xml:space="preserve">Proposal 5: </w:t>
      </w:r>
      <w:r w:rsidR="00001F17">
        <w:rPr>
          <w:b/>
        </w:rPr>
        <w:t>Minor c</w:t>
      </w:r>
      <w:r>
        <w:rPr>
          <w:b/>
        </w:rPr>
        <w:t xml:space="preserve">hanges to connected mode functionality for discontinuous coverage can be considered </w:t>
      </w:r>
      <w:r w:rsidR="00001F17">
        <w:rPr>
          <w:b/>
        </w:rPr>
        <w:t>for Rel-17.</w:t>
      </w:r>
    </w:p>
    <w:p w14:paraId="5FF2457F" w14:textId="2EC9EBC4" w:rsidR="00A209D6" w:rsidRPr="006E13D1" w:rsidRDefault="000F5A42" w:rsidP="00A209D6">
      <w:pPr>
        <w:pStyle w:val="Heading1"/>
      </w:pPr>
      <w:r>
        <w:lastRenderedPageBreak/>
        <w:t>3</w:t>
      </w:r>
      <w:r w:rsidR="00A209D6" w:rsidRPr="006E13D1">
        <w:tab/>
      </w:r>
      <w:r w:rsidR="008C3057">
        <w:t>Conclusion</w:t>
      </w:r>
    </w:p>
    <w:p w14:paraId="2EBECED1" w14:textId="77777777" w:rsidR="00837659" w:rsidRPr="00D433B3" w:rsidRDefault="00837659" w:rsidP="00837659">
      <w:pPr>
        <w:pStyle w:val="BodyText"/>
        <w:rPr>
          <w:rFonts w:ascii="Times New Roman" w:hAnsi="Times New Roman"/>
          <w:b/>
          <w:bCs/>
          <w:lang w:val="en-US"/>
        </w:rPr>
      </w:pPr>
      <w:r w:rsidRPr="00D433B3">
        <w:rPr>
          <w:rFonts w:ascii="Times New Roman" w:hAnsi="Times New Roman"/>
          <w:lang w:val="en-US" w:eastAsia="ja-JP"/>
        </w:rPr>
        <w:t xml:space="preserve">Based on the discussion in the </w:t>
      </w:r>
      <w:r w:rsidRPr="00D433B3">
        <w:rPr>
          <w:rFonts w:ascii="Times New Roman" w:hAnsi="Times New Roman"/>
          <w:lang w:val="en-US"/>
        </w:rPr>
        <w:t>previous sections</w:t>
      </w:r>
      <w:r w:rsidRPr="00D433B3">
        <w:rPr>
          <w:rFonts w:ascii="Times New Roman" w:hAnsi="Times New Roman"/>
          <w:lang w:val="en-US" w:eastAsia="ja-JP"/>
        </w:rPr>
        <w:t>,</w:t>
      </w:r>
      <w:r w:rsidRPr="00D433B3">
        <w:rPr>
          <w:rFonts w:ascii="Times New Roman" w:hAnsi="Times New Roman"/>
          <w:lang w:val="en-US"/>
        </w:rPr>
        <w:t xml:space="preserve"> we made the following</w:t>
      </w:r>
      <w:r>
        <w:rPr>
          <w:rFonts w:ascii="Times New Roman" w:hAnsi="Times New Roman"/>
          <w:lang w:val="en-US"/>
        </w:rPr>
        <w:t xml:space="preserve"> observation and</w:t>
      </w:r>
      <w:r w:rsidRPr="00D433B3">
        <w:rPr>
          <w:rFonts w:ascii="Times New Roman" w:hAnsi="Times New Roman"/>
          <w:lang w:val="en-US"/>
        </w:rPr>
        <w:t xml:space="preserve"> </w:t>
      </w:r>
      <w:r w:rsidRPr="00D433B3">
        <w:rPr>
          <w:rFonts w:ascii="Times New Roman" w:hAnsi="Times New Roman"/>
          <w:lang w:val="en-US" w:eastAsia="ja-JP"/>
        </w:rPr>
        <w:t>proposal</w:t>
      </w:r>
      <w:r w:rsidRPr="00D433B3">
        <w:rPr>
          <w:rFonts w:ascii="Times New Roman" w:hAnsi="Times New Roman"/>
          <w:lang w:val="en-US"/>
        </w:rPr>
        <w:t>s:</w:t>
      </w:r>
      <w:r w:rsidRPr="00D433B3">
        <w:rPr>
          <w:rFonts w:ascii="Times New Roman" w:hAnsi="Times New Roman"/>
          <w:b/>
          <w:bCs/>
          <w:lang w:val="en-US"/>
        </w:rPr>
        <w:t xml:space="preserve"> </w:t>
      </w:r>
    </w:p>
    <w:p w14:paraId="6833027F" w14:textId="491B552F" w:rsidR="00837659" w:rsidRPr="00560B07" w:rsidRDefault="00837659" w:rsidP="00837659">
      <w:pPr>
        <w:overflowPunct w:val="0"/>
        <w:autoSpaceDE w:val="0"/>
        <w:autoSpaceDN w:val="0"/>
        <w:adjustRightInd w:val="0"/>
        <w:rPr>
          <w:rFonts w:cs="Arial"/>
          <w:b/>
          <w:bCs/>
        </w:rPr>
      </w:pPr>
      <w:r w:rsidRPr="00560B07">
        <w:rPr>
          <w:rFonts w:cs="Arial"/>
          <w:b/>
          <w:bCs/>
        </w:rPr>
        <w:t xml:space="preserve">Proposal </w:t>
      </w:r>
      <w:r>
        <w:rPr>
          <w:rFonts w:cs="Arial"/>
          <w:b/>
          <w:bCs/>
        </w:rPr>
        <w:t>1</w:t>
      </w:r>
      <w:r w:rsidRPr="00560B07">
        <w:rPr>
          <w:rFonts w:cs="Arial"/>
          <w:b/>
          <w:bCs/>
        </w:rPr>
        <w:t>:</w:t>
      </w:r>
      <w:r w:rsidR="00551280">
        <w:rPr>
          <w:rFonts w:cs="Arial"/>
          <w:b/>
          <w:bCs/>
        </w:rPr>
        <w:t xml:space="preserve"> </w:t>
      </w:r>
      <w:r w:rsidRPr="00560B07">
        <w:rPr>
          <w:rFonts w:cs="Arial"/>
          <w:b/>
          <w:bCs/>
        </w:rPr>
        <w:t>5GC connectivity is not essential functionality for the listed scenarios.</w:t>
      </w:r>
    </w:p>
    <w:p w14:paraId="07F3ADAA" w14:textId="77777777" w:rsidR="00837659" w:rsidRPr="003F5368" w:rsidRDefault="00837659" w:rsidP="00837659">
      <w:pPr>
        <w:rPr>
          <w:b/>
        </w:rPr>
      </w:pPr>
      <w:r w:rsidRPr="003F5368">
        <w:rPr>
          <w:b/>
        </w:rPr>
        <w:t xml:space="preserve">Proposal </w:t>
      </w:r>
      <w:r>
        <w:rPr>
          <w:b/>
        </w:rPr>
        <w:t>2</w:t>
      </w:r>
      <w:r w:rsidRPr="003F5368">
        <w:rPr>
          <w:b/>
        </w:rPr>
        <w:t xml:space="preserve">: </w:t>
      </w:r>
      <w:r>
        <w:rPr>
          <w:b/>
        </w:rPr>
        <w:t xml:space="preserve">The necessity of </w:t>
      </w:r>
      <w:r w:rsidRPr="003F5368">
        <w:rPr>
          <w:b/>
        </w:rPr>
        <w:t xml:space="preserve">HARQ </w:t>
      </w:r>
      <w:r>
        <w:rPr>
          <w:b/>
        </w:rPr>
        <w:t>enhancement</w:t>
      </w:r>
      <w:r w:rsidRPr="003F5368">
        <w:rPr>
          <w:b/>
        </w:rPr>
        <w:t xml:space="preserve"> in Rel-17</w:t>
      </w:r>
      <w:r>
        <w:rPr>
          <w:b/>
        </w:rPr>
        <w:t xml:space="preserve"> depends on data rate requirement for IoT NTN.</w:t>
      </w:r>
    </w:p>
    <w:p w14:paraId="2A59F8F9" w14:textId="5CBFFFB5" w:rsidR="00837659" w:rsidRPr="00E63D0C" w:rsidRDefault="00837659" w:rsidP="00837659">
      <w:pPr>
        <w:rPr>
          <w:b/>
        </w:rPr>
      </w:pPr>
      <w:r w:rsidRPr="00E63D0C">
        <w:rPr>
          <w:b/>
        </w:rPr>
        <w:t xml:space="preserve">Proposal 3: </w:t>
      </w:r>
      <w:r>
        <w:rPr>
          <w:b/>
        </w:rPr>
        <w:t xml:space="preserve">RAN2 to agree EDT </w:t>
      </w:r>
      <w:r w:rsidR="007332E1">
        <w:rPr>
          <w:b/>
        </w:rPr>
        <w:t>(</w:t>
      </w:r>
      <w:r w:rsidRPr="0044399E">
        <w:rPr>
          <w:b/>
        </w:rPr>
        <w:t>without additional specification changes compared to RACH</w:t>
      </w:r>
      <w:r w:rsidR="007332E1">
        <w:rPr>
          <w:b/>
        </w:rPr>
        <w:t>)</w:t>
      </w:r>
      <w:r w:rsidRPr="0044399E">
        <w:rPr>
          <w:b/>
        </w:rPr>
        <w:t xml:space="preserve"> </w:t>
      </w:r>
      <w:r>
        <w:rPr>
          <w:b/>
        </w:rPr>
        <w:t>as essential part for IoT NTN</w:t>
      </w:r>
      <w:r w:rsidR="00996F24">
        <w:rPr>
          <w:b/>
        </w:rPr>
        <w:t xml:space="preserve"> in Rel-17</w:t>
      </w:r>
      <w:r w:rsidRPr="00E63D0C">
        <w:rPr>
          <w:b/>
        </w:rPr>
        <w:t>.</w:t>
      </w:r>
    </w:p>
    <w:p w14:paraId="58B1345C" w14:textId="6EB0BF76" w:rsidR="00837659" w:rsidRDefault="00837659" w:rsidP="00837659">
      <w:pPr>
        <w:pStyle w:val="ListParagraph"/>
        <w:ind w:left="0"/>
        <w:rPr>
          <w:b/>
          <w:color w:val="000000" w:themeColor="text1"/>
        </w:rPr>
      </w:pPr>
      <w:r w:rsidRPr="00CF3A2C">
        <w:rPr>
          <w:b/>
          <w:color w:val="000000" w:themeColor="text1"/>
        </w:rPr>
        <w:t>Observation 1: Power consumption related to Idle mode mobility related procedures can be significantly improved for discontinuous coverage scenario with additional enhancements.</w:t>
      </w:r>
    </w:p>
    <w:p w14:paraId="0DAE0962" w14:textId="77777777" w:rsidR="00296ABF" w:rsidRDefault="00296ABF" w:rsidP="00837659">
      <w:pPr>
        <w:pStyle w:val="ListParagraph"/>
        <w:ind w:left="0"/>
        <w:rPr>
          <w:b/>
          <w:color w:val="000000" w:themeColor="text1"/>
        </w:rPr>
      </w:pPr>
    </w:p>
    <w:p w14:paraId="21328757" w14:textId="77777777" w:rsidR="00837659" w:rsidRDefault="00837659" w:rsidP="00837659">
      <w:pPr>
        <w:pStyle w:val="ListParagraph"/>
        <w:ind w:left="0"/>
        <w:rPr>
          <w:b/>
          <w:color w:val="000000" w:themeColor="text1"/>
        </w:rPr>
      </w:pPr>
      <w:r>
        <w:rPr>
          <w:b/>
          <w:color w:val="000000" w:themeColor="text1"/>
        </w:rPr>
        <w:t xml:space="preserve">Observation 2: Awareness of coverage continuity for connected mode UE may be beneficial in some scenarios. </w:t>
      </w:r>
    </w:p>
    <w:p w14:paraId="2A7EC6E2" w14:textId="4C8B4DED" w:rsidR="00837659" w:rsidRDefault="00837659" w:rsidP="00837659">
      <w:pPr>
        <w:rPr>
          <w:b/>
        </w:rPr>
      </w:pPr>
      <w:r w:rsidRPr="00E63D0C">
        <w:rPr>
          <w:b/>
        </w:rPr>
        <w:t xml:space="preserve">Proposal </w:t>
      </w:r>
      <w:r>
        <w:rPr>
          <w:b/>
        </w:rPr>
        <w:t>4</w:t>
      </w:r>
      <w:r w:rsidRPr="00E63D0C">
        <w:rPr>
          <w:b/>
        </w:rPr>
        <w:t xml:space="preserve">: </w:t>
      </w:r>
      <w:r>
        <w:rPr>
          <w:b/>
        </w:rPr>
        <w:t>RAN2 to prioritise the enhancements to the idle mode procedures applicable for discontinuous coverage scenario</w:t>
      </w:r>
      <w:r w:rsidR="009028A7">
        <w:rPr>
          <w:b/>
        </w:rPr>
        <w:t xml:space="preserve"> in Rel-17</w:t>
      </w:r>
      <w:r>
        <w:rPr>
          <w:b/>
        </w:rPr>
        <w:t>.</w:t>
      </w:r>
    </w:p>
    <w:p w14:paraId="5CA0A15E" w14:textId="77777777" w:rsidR="00837659" w:rsidRDefault="00837659" w:rsidP="00837659">
      <w:pPr>
        <w:rPr>
          <w:b/>
          <w:color w:val="A6A6A6" w:themeColor="background1" w:themeShade="A6"/>
        </w:rPr>
      </w:pPr>
      <w:r>
        <w:rPr>
          <w:b/>
        </w:rPr>
        <w:t>Proposal 5: Minor changes to connected mode functionality for discontinuous coverage can be considered for Rel-17.</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9810D" w14:textId="77777777" w:rsidR="00092F16" w:rsidRDefault="00092F16">
      <w:r>
        <w:separator/>
      </w:r>
    </w:p>
  </w:endnote>
  <w:endnote w:type="continuationSeparator" w:id="0">
    <w:p w14:paraId="56121156" w14:textId="77777777" w:rsidR="00092F16" w:rsidRDefault="00092F16">
      <w:r>
        <w:continuationSeparator/>
      </w:r>
    </w:p>
  </w:endnote>
  <w:endnote w:type="continuationNotice" w:id="1">
    <w:p w14:paraId="61A69D1B" w14:textId="77777777" w:rsidR="00092F16" w:rsidRDefault="00092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19D82" w14:textId="77777777" w:rsidR="00092F16" w:rsidRDefault="00092F16">
      <w:r>
        <w:separator/>
      </w:r>
    </w:p>
  </w:footnote>
  <w:footnote w:type="continuationSeparator" w:id="0">
    <w:p w14:paraId="12A549CD" w14:textId="77777777" w:rsidR="00092F16" w:rsidRDefault="00092F16">
      <w:r>
        <w:continuationSeparator/>
      </w:r>
    </w:p>
  </w:footnote>
  <w:footnote w:type="continuationNotice" w:id="1">
    <w:p w14:paraId="0D1CF09C" w14:textId="77777777" w:rsidR="00092F16" w:rsidRDefault="00092F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8559E0"/>
    <w:multiLevelType w:val="hybridMultilevel"/>
    <w:tmpl w:val="5FBC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EA429A3"/>
    <w:multiLevelType w:val="hybridMultilevel"/>
    <w:tmpl w:val="F84C23E8"/>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9"/>
  </w:num>
  <w:num w:numId="9">
    <w:abstractNumId w:val="5"/>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17"/>
    <w:rsid w:val="00016557"/>
    <w:rsid w:val="00023C40"/>
    <w:rsid w:val="00033397"/>
    <w:rsid w:val="00040095"/>
    <w:rsid w:val="00043455"/>
    <w:rsid w:val="00052ACE"/>
    <w:rsid w:val="00060166"/>
    <w:rsid w:val="00065268"/>
    <w:rsid w:val="00073C9C"/>
    <w:rsid w:val="00080512"/>
    <w:rsid w:val="00090468"/>
    <w:rsid w:val="00092F16"/>
    <w:rsid w:val="00094568"/>
    <w:rsid w:val="000B7BCF"/>
    <w:rsid w:val="000C522B"/>
    <w:rsid w:val="000D58AB"/>
    <w:rsid w:val="000F5A42"/>
    <w:rsid w:val="00112F1A"/>
    <w:rsid w:val="00145075"/>
    <w:rsid w:val="001741A0"/>
    <w:rsid w:val="00175FA0"/>
    <w:rsid w:val="00194CD0"/>
    <w:rsid w:val="001B49C9"/>
    <w:rsid w:val="001C23F4"/>
    <w:rsid w:val="001C4F79"/>
    <w:rsid w:val="001F168B"/>
    <w:rsid w:val="001F7831"/>
    <w:rsid w:val="00204045"/>
    <w:rsid w:val="0020450C"/>
    <w:rsid w:val="0020712B"/>
    <w:rsid w:val="0022552D"/>
    <w:rsid w:val="0022606D"/>
    <w:rsid w:val="00231728"/>
    <w:rsid w:val="00244A05"/>
    <w:rsid w:val="00250404"/>
    <w:rsid w:val="002610D8"/>
    <w:rsid w:val="002747EC"/>
    <w:rsid w:val="002855BF"/>
    <w:rsid w:val="002944F0"/>
    <w:rsid w:val="00296ABF"/>
    <w:rsid w:val="002D4994"/>
    <w:rsid w:val="002F0D22"/>
    <w:rsid w:val="00311B17"/>
    <w:rsid w:val="00313794"/>
    <w:rsid w:val="003172DC"/>
    <w:rsid w:val="00325AE3"/>
    <w:rsid w:val="00326069"/>
    <w:rsid w:val="0035462D"/>
    <w:rsid w:val="00357A4F"/>
    <w:rsid w:val="0036459E"/>
    <w:rsid w:val="00364B41"/>
    <w:rsid w:val="00372451"/>
    <w:rsid w:val="00383096"/>
    <w:rsid w:val="0039346C"/>
    <w:rsid w:val="003A41EF"/>
    <w:rsid w:val="003B40AD"/>
    <w:rsid w:val="003C4E37"/>
    <w:rsid w:val="003E16BE"/>
    <w:rsid w:val="003F4E28"/>
    <w:rsid w:val="003F6F14"/>
    <w:rsid w:val="004006E8"/>
    <w:rsid w:val="00401855"/>
    <w:rsid w:val="0044399E"/>
    <w:rsid w:val="00465587"/>
    <w:rsid w:val="00477455"/>
    <w:rsid w:val="004A1F7B"/>
    <w:rsid w:val="004C3CD2"/>
    <w:rsid w:val="004C44D2"/>
    <w:rsid w:val="004D3578"/>
    <w:rsid w:val="004D380D"/>
    <w:rsid w:val="004D7951"/>
    <w:rsid w:val="004E213A"/>
    <w:rsid w:val="004F4540"/>
    <w:rsid w:val="004F73A7"/>
    <w:rsid w:val="00501D20"/>
    <w:rsid w:val="00503171"/>
    <w:rsid w:val="00506C28"/>
    <w:rsid w:val="00534DA0"/>
    <w:rsid w:val="00543E6C"/>
    <w:rsid w:val="00551280"/>
    <w:rsid w:val="00565087"/>
    <w:rsid w:val="0056573F"/>
    <w:rsid w:val="00571279"/>
    <w:rsid w:val="005808CE"/>
    <w:rsid w:val="005846D9"/>
    <w:rsid w:val="005A49C6"/>
    <w:rsid w:val="00611566"/>
    <w:rsid w:val="00646D99"/>
    <w:rsid w:val="00656910"/>
    <w:rsid w:val="006574C0"/>
    <w:rsid w:val="00671B1F"/>
    <w:rsid w:val="00696821"/>
    <w:rsid w:val="006C66D8"/>
    <w:rsid w:val="006D1E24"/>
    <w:rsid w:val="006D35DE"/>
    <w:rsid w:val="006E1057"/>
    <w:rsid w:val="006E1417"/>
    <w:rsid w:val="006F6A2C"/>
    <w:rsid w:val="007069DC"/>
    <w:rsid w:val="00710201"/>
    <w:rsid w:val="0072073A"/>
    <w:rsid w:val="007263FE"/>
    <w:rsid w:val="007332E1"/>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E6D17"/>
    <w:rsid w:val="007F2E08"/>
    <w:rsid w:val="008028A4"/>
    <w:rsid w:val="00813245"/>
    <w:rsid w:val="00837659"/>
    <w:rsid w:val="00840DE0"/>
    <w:rsid w:val="008438C3"/>
    <w:rsid w:val="008607A8"/>
    <w:rsid w:val="0086354A"/>
    <w:rsid w:val="008768CA"/>
    <w:rsid w:val="00877EF9"/>
    <w:rsid w:val="00880559"/>
    <w:rsid w:val="00893372"/>
    <w:rsid w:val="008A3D5B"/>
    <w:rsid w:val="008A513E"/>
    <w:rsid w:val="008B5306"/>
    <w:rsid w:val="008C2E2A"/>
    <w:rsid w:val="008C3057"/>
    <w:rsid w:val="008D2E4D"/>
    <w:rsid w:val="008F396F"/>
    <w:rsid w:val="008F3DCD"/>
    <w:rsid w:val="0090271F"/>
    <w:rsid w:val="009028A7"/>
    <w:rsid w:val="00902DB9"/>
    <w:rsid w:val="0090466A"/>
    <w:rsid w:val="00923655"/>
    <w:rsid w:val="00936071"/>
    <w:rsid w:val="009376CD"/>
    <w:rsid w:val="00940212"/>
    <w:rsid w:val="00942EC2"/>
    <w:rsid w:val="00961B32"/>
    <w:rsid w:val="00962509"/>
    <w:rsid w:val="00970DB3"/>
    <w:rsid w:val="00974BB0"/>
    <w:rsid w:val="00975BCD"/>
    <w:rsid w:val="009928A9"/>
    <w:rsid w:val="0099505F"/>
    <w:rsid w:val="00996F24"/>
    <w:rsid w:val="009A0AF3"/>
    <w:rsid w:val="009B07CD"/>
    <w:rsid w:val="009C19E9"/>
    <w:rsid w:val="009C565A"/>
    <w:rsid w:val="009D74A6"/>
    <w:rsid w:val="009E0E87"/>
    <w:rsid w:val="00A10F02"/>
    <w:rsid w:val="00A12133"/>
    <w:rsid w:val="00A204CA"/>
    <w:rsid w:val="00A209D6"/>
    <w:rsid w:val="00A22738"/>
    <w:rsid w:val="00A24196"/>
    <w:rsid w:val="00A430EC"/>
    <w:rsid w:val="00A53724"/>
    <w:rsid w:val="00A54B2B"/>
    <w:rsid w:val="00A64B07"/>
    <w:rsid w:val="00A82346"/>
    <w:rsid w:val="00A9671C"/>
    <w:rsid w:val="00AA1553"/>
    <w:rsid w:val="00B05380"/>
    <w:rsid w:val="00B05962"/>
    <w:rsid w:val="00B15449"/>
    <w:rsid w:val="00B161E4"/>
    <w:rsid w:val="00B16C2F"/>
    <w:rsid w:val="00B27303"/>
    <w:rsid w:val="00B35DA9"/>
    <w:rsid w:val="00B3786F"/>
    <w:rsid w:val="00B47FD1"/>
    <w:rsid w:val="00B516BB"/>
    <w:rsid w:val="00B7538C"/>
    <w:rsid w:val="00B84DB2"/>
    <w:rsid w:val="00B96130"/>
    <w:rsid w:val="00BB27D7"/>
    <w:rsid w:val="00BC3555"/>
    <w:rsid w:val="00BF0907"/>
    <w:rsid w:val="00C10737"/>
    <w:rsid w:val="00C12B51"/>
    <w:rsid w:val="00C24650"/>
    <w:rsid w:val="00C25465"/>
    <w:rsid w:val="00C33079"/>
    <w:rsid w:val="00C45CC6"/>
    <w:rsid w:val="00C55A12"/>
    <w:rsid w:val="00C6553E"/>
    <w:rsid w:val="00C70385"/>
    <w:rsid w:val="00C83A13"/>
    <w:rsid w:val="00C84561"/>
    <w:rsid w:val="00C86F10"/>
    <w:rsid w:val="00C9068C"/>
    <w:rsid w:val="00C92967"/>
    <w:rsid w:val="00CA3D0C"/>
    <w:rsid w:val="00CA654B"/>
    <w:rsid w:val="00CB72B8"/>
    <w:rsid w:val="00CD0BA8"/>
    <w:rsid w:val="00CD4C7B"/>
    <w:rsid w:val="00CD58FE"/>
    <w:rsid w:val="00CF3A2C"/>
    <w:rsid w:val="00D01FD0"/>
    <w:rsid w:val="00D03A08"/>
    <w:rsid w:val="00D33BE3"/>
    <w:rsid w:val="00D3792D"/>
    <w:rsid w:val="00D40BC4"/>
    <w:rsid w:val="00D55E47"/>
    <w:rsid w:val="00D62E19"/>
    <w:rsid w:val="00D67CD1"/>
    <w:rsid w:val="00D738D6"/>
    <w:rsid w:val="00D80795"/>
    <w:rsid w:val="00D820D4"/>
    <w:rsid w:val="00D854BE"/>
    <w:rsid w:val="00D87E00"/>
    <w:rsid w:val="00D9134D"/>
    <w:rsid w:val="00D9157B"/>
    <w:rsid w:val="00D96D11"/>
    <w:rsid w:val="00DA7A03"/>
    <w:rsid w:val="00DB0DB8"/>
    <w:rsid w:val="00DB1818"/>
    <w:rsid w:val="00DC309B"/>
    <w:rsid w:val="00DC4DA2"/>
    <w:rsid w:val="00DC5261"/>
    <w:rsid w:val="00DE25D2"/>
    <w:rsid w:val="00DF4895"/>
    <w:rsid w:val="00E106C8"/>
    <w:rsid w:val="00E22DAC"/>
    <w:rsid w:val="00E25273"/>
    <w:rsid w:val="00E46C08"/>
    <w:rsid w:val="00E471CF"/>
    <w:rsid w:val="00E62835"/>
    <w:rsid w:val="00E63D0C"/>
    <w:rsid w:val="00E733C7"/>
    <w:rsid w:val="00E77645"/>
    <w:rsid w:val="00E83697"/>
    <w:rsid w:val="00E859B6"/>
    <w:rsid w:val="00E94CEC"/>
    <w:rsid w:val="00EA66C9"/>
    <w:rsid w:val="00EC4A25"/>
    <w:rsid w:val="00EE7646"/>
    <w:rsid w:val="00EF612C"/>
    <w:rsid w:val="00F025A2"/>
    <w:rsid w:val="00F036E9"/>
    <w:rsid w:val="00F07388"/>
    <w:rsid w:val="00F2026E"/>
    <w:rsid w:val="00F2210A"/>
    <w:rsid w:val="00F31372"/>
    <w:rsid w:val="00F37743"/>
    <w:rsid w:val="00F54A3D"/>
    <w:rsid w:val="00F54CB0"/>
    <w:rsid w:val="00F579CD"/>
    <w:rsid w:val="00F653B8"/>
    <w:rsid w:val="00F67193"/>
    <w:rsid w:val="00F71B89"/>
    <w:rsid w:val="00F7353C"/>
    <w:rsid w:val="00F76F8F"/>
    <w:rsid w:val="00F85BB2"/>
    <w:rsid w:val="00F941DF"/>
    <w:rsid w:val="00F95D1D"/>
    <w:rsid w:val="00FA1266"/>
    <w:rsid w:val="00FB36FA"/>
    <w:rsid w:val="00FC1192"/>
    <w:rsid w:val="00FD2A1B"/>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2419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96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rsid w:val="00B96130"/>
    <w:pPr>
      <w:numPr>
        <w:numId w:val="8"/>
      </w:numPr>
      <w:spacing w:before="60" w:after="0"/>
    </w:pPr>
    <w:rPr>
      <w:rFonts w:ascii="Arial" w:eastAsia="MS Mincho" w:hAnsi="Arial"/>
      <w:b/>
      <w:szCs w:val="24"/>
      <w:lang w:eastAsia="en-GB"/>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E733C7"/>
    <w:pPr>
      <w:ind w:left="720"/>
      <w:contextualSpacing/>
    </w:pPr>
  </w:style>
  <w:style w:type="character" w:styleId="CommentReference">
    <w:name w:val="annotation reference"/>
    <w:basedOn w:val="DefaultParagraphFont"/>
    <w:rsid w:val="00A12133"/>
    <w:rPr>
      <w:sz w:val="16"/>
      <w:szCs w:val="16"/>
    </w:rPr>
  </w:style>
  <w:style w:type="paragraph" w:styleId="CommentText">
    <w:name w:val="annotation text"/>
    <w:basedOn w:val="Normal"/>
    <w:link w:val="CommentTextChar"/>
    <w:rsid w:val="00A12133"/>
  </w:style>
  <w:style w:type="character" w:customStyle="1" w:styleId="CommentTextChar">
    <w:name w:val="Comment Text Char"/>
    <w:basedOn w:val="DefaultParagraphFont"/>
    <w:link w:val="CommentText"/>
    <w:rsid w:val="00A12133"/>
    <w:rPr>
      <w:lang w:eastAsia="en-US"/>
    </w:rPr>
  </w:style>
  <w:style w:type="paragraph" w:styleId="CommentSubject">
    <w:name w:val="annotation subject"/>
    <w:basedOn w:val="CommentText"/>
    <w:next w:val="CommentText"/>
    <w:link w:val="CommentSubjectChar"/>
    <w:rsid w:val="00A12133"/>
    <w:rPr>
      <w:b/>
      <w:bCs/>
    </w:rPr>
  </w:style>
  <w:style w:type="character" w:customStyle="1" w:styleId="CommentSubjectChar">
    <w:name w:val="Comment Subject Char"/>
    <w:basedOn w:val="CommentTextChar"/>
    <w:link w:val="CommentSubject"/>
    <w:rsid w:val="00A12133"/>
    <w:rPr>
      <w:b/>
      <w:bCs/>
      <w:lang w:eastAsia="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A24196"/>
    <w:rPr>
      <w:lang w:eastAsia="en-US"/>
    </w:rPr>
  </w:style>
  <w:style w:type="paragraph" w:styleId="BodyText">
    <w:name w:val="Body Text"/>
    <w:basedOn w:val="Normal"/>
    <w:link w:val="BodyTextChar"/>
    <w:rsid w:val="00837659"/>
    <w:pPr>
      <w:overflowPunct w:val="0"/>
      <w:autoSpaceDE w:val="0"/>
      <w:autoSpaceDN w:val="0"/>
      <w:adjustRightInd w:val="0"/>
      <w:spacing w:after="120"/>
      <w:jc w:val="both"/>
      <w:textAlignment w:val="baseline"/>
    </w:pPr>
    <w:rPr>
      <w:rFonts w:ascii="Arial" w:eastAsia="MS Mincho" w:hAnsi="Arial"/>
      <w:lang w:eastAsia="zh-CN"/>
    </w:rPr>
  </w:style>
  <w:style w:type="character" w:customStyle="1" w:styleId="BodyTextChar">
    <w:name w:val="Body Text Char"/>
    <w:basedOn w:val="DefaultParagraphFont"/>
    <w:link w:val="BodyText"/>
    <w:rsid w:val="00837659"/>
    <w:rPr>
      <w:rFonts w:ascii="Arial" w:eastAsia="MS Mincho"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5AIRPNAIUNRU-859666464-8878</_dlc_DocId>
    <_dlc_DocIdUrl xmlns="71c5aaf6-e6ce-465b-b873-5148d2a4c105">
      <Url>https://nokia.sharepoint.com/sites/c5g/e2earch/_layouts/15/DocIdRedir.aspx?ID=5AIRPNAIUNRU-859666464-8878</Url>
      <Description>5AIRPNAIUNRU-859666464-8878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Pages>
  <Words>1141</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7630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Nokia_Ping Yuan</cp:lastModifiedBy>
  <cp:revision>128</cp:revision>
  <dcterms:created xsi:type="dcterms:W3CDTF">2016-08-12T03:53:00Z</dcterms:created>
  <dcterms:modified xsi:type="dcterms:W3CDTF">2021-05-11T04:36:00Z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1aa4e840-0aeb-4b93-b1c2-4f9934d03ac3</vt:lpwstr>
  </property>
</Properties>
</file>